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EA934" w14:textId="1BC552AE" w:rsidR="00767591" w:rsidRPr="00767591" w:rsidRDefault="00767591" w:rsidP="00F57B50">
      <w:pPr>
        <w:tabs>
          <w:tab w:val="right" w:pos="9900"/>
        </w:tabs>
        <w:kinsoku w:val="0"/>
        <w:overflowPunct w:val="0"/>
        <w:spacing w:after="0"/>
        <w:rPr>
          <w:rFonts w:ascii="Arial" w:hAnsi="Arial" w:cs="Arial"/>
          <w:b/>
          <w:bCs/>
        </w:rPr>
      </w:pPr>
      <w:r w:rsidRPr="00767591">
        <w:rPr>
          <w:rFonts w:ascii="Arial" w:hAnsi="Arial" w:cs="Arial"/>
          <w:b/>
          <w:bCs/>
        </w:rPr>
        <w:t>3GPP TSG RAN WG1 Meeting #</w:t>
      </w:r>
      <w:r w:rsidR="00E96301">
        <w:rPr>
          <w:rFonts w:ascii="Arial" w:hAnsi="Arial" w:cs="Arial"/>
          <w:b/>
          <w:bCs/>
        </w:rPr>
        <w:t>96</w:t>
      </w:r>
      <w:r w:rsidR="00E96301">
        <w:rPr>
          <w:rFonts w:ascii="Arial" w:hAnsi="Arial" w:cs="Arial"/>
          <w:b/>
          <w:bCs/>
        </w:rPr>
        <w:tab/>
      </w:r>
      <w:r>
        <w:rPr>
          <w:rFonts w:ascii="Arial" w:hAnsi="Arial" w:cs="Arial"/>
          <w:b/>
          <w:bCs/>
        </w:rPr>
        <w:t xml:space="preserve">                                                                          </w:t>
      </w:r>
      <w:r w:rsidRPr="00767591">
        <w:rPr>
          <w:rFonts w:ascii="Arial" w:hAnsi="Arial" w:cs="Arial"/>
          <w:b/>
          <w:bCs/>
        </w:rPr>
        <w:t>R1-1</w:t>
      </w:r>
      <w:r w:rsidR="003415F1">
        <w:rPr>
          <w:rFonts w:ascii="Arial" w:hAnsi="Arial" w:cs="Arial"/>
          <w:b/>
          <w:bCs/>
        </w:rPr>
        <w:t>9</w:t>
      </w:r>
      <w:r w:rsidR="00E74E31">
        <w:rPr>
          <w:rFonts w:ascii="Arial" w:hAnsi="Arial" w:cs="Arial"/>
          <w:b/>
          <w:bCs/>
        </w:rPr>
        <w:t>0</w:t>
      </w:r>
      <w:r w:rsidR="00D80B5F">
        <w:rPr>
          <w:rFonts w:ascii="Arial" w:hAnsi="Arial" w:cs="Arial"/>
          <w:b/>
          <w:bCs/>
        </w:rPr>
        <w:t>2989</w:t>
      </w:r>
    </w:p>
    <w:p w14:paraId="473E18CA" w14:textId="508785C1" w:rsidR="00767591" w:rsidRPr="00767591" w:rsidRDefault="00E96301" w:rsidP="00F57B50">
      <w:pPr>
        <w:tabs>
          <w:tab w:val="right" w:pos="9900"/>
        </w:tabs>
        <w:kinsoku w:val="0"/>
        <w:overflowPunct w:val="0"/>
        <w:spacing w:after="0"/>
        <w:rPr>
          <w:rFonts w:ascii="Arial" w:hAnsi="Arial" w:cs="Arial"/>
          <w:b/>
          <w:bCs/>
        </w:rPr>
      </w:pPr>
      <w:r>
        <w:rPr>
          <w:rFonts w:ascii="Arial" w:hAnsi="Arial" w:cs="Arial"/>
          <w:b/>
          <w:bCs/>
        </w:rPr>
        <w:t>Athens</w:t>
      </w:r>
      <w:r w:rsidR="00767591" w:rsidRPr="00767591">
        <w:rPr>
          <w:rFonts w:ascii="Arial" w:hAnsi="Arial" w:cs="Arial"/>
          <w:b/>
          <w:bCs/>
        </w:rPr>
        <w:t xml:space="preserve">, </w:t>
      </w:r>
      <w:r>
        <w:rPr>
          <w:rFonts w:ascii="Arial" w:hAnsi="Arial" w:cs="Arial"/>
          <w:b/>
          <w:bCs/>
        </w:rPr>
        <w:t>Greece</w:t>
      </w:r>
    </w:p>
    <w:p w14:paraId="1F8136F3" w14:textId="742C5A26" w:rsidR="006361ED" w:rsidRPr="006361ED" w:rsidRDefault="00E96301" w:rsidP="00F57B50">
      <w:pPr>
        <w:tabs>
          <w:tab w:val="right" w:pos="9900"/>
        </w:tabs>
        <w:kinsoku w:val="0"/>
        <w:overflowPunct w:val="0"/>
        <w:spacing w:after="0"/>
        <w:rPr>
          <w:rFonts w:ascii="Arial" w:hAnsi="Arial" w:cs="Arial"/>
          <w:b/>
          <w:bCs/>
        </w:rPr>
      </w:pPr>
      <w:r>
        <w:rPr>
          <w:rFonts w:ascii="Arial" w:hAnsi="Arial" w:cs="Arial"/>
          <w:b/>
          <w:bCs/>
        </w:rPr>
        <w:t>Feb</w:t>
      </w:r>
      <w:r w:rsidR="00767591" w:rsidRPr="00767591">
        <w:rPr>
          <w:rFonts w:ascii="Arial" w:hAnsi="Arial" w:cs="Arial"/>
          <w:b/>
          <w:bCs/>
        </w:rPr>
        <w:t>. 2</w:t>
      </w:r>
      <w:r>
        <w:rPr>
          <w:rFonts w:ascii="Arial" w:hAnsi="Arial" w:cs="Arial"/>
          <w:b/>
          <w:bCs/>
        </w:rPr>
        <w:t>5</w:t>
      </w:r>
      <w:r w:rsidR="00DF4394" w:rsidRPr="00DF4394">
        <w:rPr>
          <w:rFonts w:ascii="Arial" w:hAnsi="Arial" w:cs="Arial"/>
          <w:b/>
          <w:bCs/>
          <w:vertAlign w:val="superscript"/>
        </w:rPr>
        <w:t>th</w:t>
      </w:r>
      <w:r w:rsidR="00767591" w:rsidRPr="00767591">
        <w:rPr>
          <w:rFonts w:ascii="Arial" w:hAnsi="Arial" w:cs="Arial"/>
          <w:b/>
          <w:bCs/>
        </w:rPr>
        <w:t xml:space="preserve"> – </w:t>
      </w:r>
      <w:r>
        <w:rPr>
          <w:rFonts w:ascii="Arial" w:hAnsi="Arial" w:cs="Arial"/>
          <w:b/>
          <w:bCs/>
        </w:rPr>
        <w:t>Mar</w:t>
      </w:r>
      <w:r w:rsidR="00767591" w:rsidRPr="00767591">
        <w:rPr>
          <w:rFonts w:ascii="Arial" w:hAnsi="Arial" w:cs="Arial"/>
          <w:b/>
          <w:bCs/>
        </w:rPr>
        <w:t xml:space="preserve">. </w:t>
      </w:r>
      <w:r>
        <w:rPr>
          <w:rFonts w:ascii="Arial" w:hAnsi="Arial" w:cs="Arial"/>
          <w:b/>
          <w:bCs/>
        </w:rPr>
        <w:t>1</w:t>
      </w:r>
      <w:r w:rsidRPr="00E96301">
        <w:rPr>
          <w:rFonts w:ascii="Arial" w:hAnsi="Arial" w:cs="Arial"/>
          <w:b/>
          <w:bCs/>
          <w:vertAlign w:val="superscript"/>
        </w:rPr>
        <w:t>st</w:t>
      </w:r>
      <w:r w:rsidR="00767591" w:rsidRPr="00767591">
        <w:rPr>
          <w:rFonts w:ascii="Arial" w:hAnsi="Arial" w:cs="Arial"/>
          <w:b/>
          <w:bCs/>
        </w:rPr>
        <w:t xml:space="preserve">, 2019 </w:t>
      </w:r>
      <w:r w:rsidR="006361ED" w:rsidRPr="006361ED">
        <w:rPr>
          <w:rFonts w:ascii="Arial" w:hAnsi="Arial" w:cs="Arial"/>
          <w:b/>
          <w:bCs/>
        </w:rPr>
        <w:t xml:space="preserve">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6E13A30D" w14:textId="024D39B4" w:rsidR="00DA1350" w:rsidRPr="002236FA" w:rsidRDefault="00E96301" w:rsidP="00601374">
      <w:pPr>
        <w:kinsoku w:val="0"/>
        <w:overflowPunct w:val="0"/>
        <w:rPr>
          <w:szCs w:val="20"/>
        </w:rPr>
      </w:pPr>
      <w:r>
        <w:rPr>
          <w:szCs w:val="20"/>
        </w:rPr>
        <w:t>From the NR-U study item phase, the following has been agreed for NR-U wideband operation:</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94414E">
      <w:pPr>
        <w:pStyle w:val="B10"/>
        <w:numPr>
          <w:ilvl w:val="0"/>
          <w:numId w:val="46"/>
        </w:numPr>
        <w:spacing w:before="120"/>
        <w:rPr>
          <w:lang w:val="en-US"/>
        </w:rPr>
      </w:pPr>
      <w:r>
        <w:rPr>
          <w:lang w:val="en-US"/>
        </w:rPr>
        <w:t>Option 1a: Multiple BWPs configured, multiple BWPs activated, transmission of PDSCH on one or more BWPs</w:t>
      </w:r>
    </w:p>
    <w:p w14:paraId="35DF4332" w14:textId="77777777" w:rsidR="0094414E" w:rsidRDefault="0094414E" w:rsidP="0094414E">
      <w:pPr>
        <w:pStyle w:val="B10"/>
        <w:numPr>
          <w:ilvl w:val="0"/>
          <w:numId w:val="46"/>
        </w:numPr>
        <w:spacing w:before="120"/>
        <w:rPr>
          <w:lang w:val="en-US"/>
        </w:rPr>
      </w:pPr>
      <w:r>
        <w:rPr>
          <w:lang w:val="en-US"/>
        </w:rPr>
        <w:t>Option 1b: Multiple BWPs configured, multiple BWPs activated, transmission of PDSCH on single BWP</w:t>
      </w:r>
    </w:p>
    <w:p w14:paraId="5121A45D" w14:textId="77777777" w:rsidR="0094414E" w:rsidRDefault="0094414E" w:rsidP="0094414E">
      <w:pPr>
        <w:pStyle w:val="B10"/>
        <w:numPr>
          <w:ilvl w:val="0"/>
          <w:numId w:val="46"/>
        </w:numPr>
        <w:spacing w:before="12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94414E">
      <w:pPr>
        <w:pStyle w:val="B10"/>
        <w:numPr>
          <w:ilvl w:val="0"/>
          <w:numId w:val="46"/>
        </w:numPr>
        <w:spacing w:before="12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94414E">
      <w:pPr>
        <w:pStyle w:val="B10"/>
        <w:numPr>
          <w:ilvl w:val="0"/>
          <w:numId w:val="46"/>
        </w:numPr>
        <w:spacing w:before="120"/>
        <w:rPr>
          <w:lang w:val="en-US"/>
        </w:rPr>
      </w:pPr>
      <w:r>
        <w:rPr>
          <w:lang w:val="en-US"/>
        </w:rPr>
        <w:t>Option 1a: Multiple BWPs configured, multiple BWPs activated, transmission of PUSCH on one or more BWPs</w:t>
      </w:r>
    </w:p>
    <w:p w14:paraId="35A61F1E" w14:textId="77777777" w:rsidR="0094414E" w:rsidRDefault="0094414E" w:rsidP="0094414E">
      <w:pPr>
        <w:pStyle w:val="B10"/>
        <w:numPr>
          <w:ilvl w:val="0"/>
          <w:numId w:val="46"/>
        </w:numPr>
        <w:spacing w:before="120"/>
        <w:rPr>
          <w:lang w:val="en-US"/>
        </w:rPr>
      </w:pPr>
      <w:r>
        <w:rPr>
          <w:lang w:val="en-US"/>
        </w:rPr>
        <w:t>Option 1b: Multiple BWPs configured, multiple BWPs activated, transmission of PUSCH on single BWP</w:t>
      </w:r>
    </w:p>
    <w:p w14:paraId="41049837" w14:textId="77777777" w:rsidR="0094414E" w:rsidRDefault="0094414E" w:rsidP="0094414E">
      <w:pPr>
        <w:pStyle w:val="B10"/>
        <w:numPr>
          <w:ilvl w:val="0"/>
          <w:numId w:val="46"/>
        </w:numPr>
        <w:spacing w:before="120"/>
        <w:rPr>
          <w:lang w:val="en-US"/>
        </w:rPr>
      </w:pPr>
      <w:r>
        <w:rPr>
          <w:lang w:val="en-US"/>
        </w:rPr>
        <w:t>Option 2: Multiple BWPs can be configured, single BWP activated, UE transmits PUSCH on a single BWP if CCA is successful at UE for the whole BWP</w:t>
      </w:r>
    </w:p>
    <w:p w14:paraId="3AF56B17" w14:textId="24E9C478" w:rsidR="00E96301" w:rsidRDefault="0094414E" w:rsidP="001756BB">
      <w:pPr>
        <w:pStyle w:val="B10"/>
        <w:numPr>
          <w:ilvl w:val="0"/>
          <w:numId w:val="46"/>
        </w:numPr>
        <w:spacing w:before="120"/>
        <w:rPr>
          <w:lang w:val="en-US"/>
        </w:rPr>
      </w:pPr>
      <w:r w:rsidRPr="00E96301">
        <w:rPr>
          <w:lang w:val="en-US"/>
        </w:rPr>
        <w:t>Option 3: Multiple BWPs can be configured, single BWP activated, UE transmits PUSCH on parts or whole of single BWP where CCA is successful at UE</w:t>
      </w:r>
    </w:p>
    <w:p w14:paraId="3722F5E1" w14:textId="24D76AA6" w:rsidR="00E96301" w:rsidRDefault="00E96301" w:rsidP="00E96301">
      <w:pPr>
        <w:pStyle w:val="B10"/>
        <w:spacing w:before="120"/>
        <w:ind w:left="0" w:firstLine="0"/>
        <w:rPr>
          <w:lang w:val="en-US"/>
        </w:rPr>
      </w:pPr>
      <w:r>
        <w:rPr>
          <w:lang w:val="en-US"/>
        </w:rPr>
        <w:t>In RAN1 #Adhoc1901, the following agreements have been reached:</w:t>
      </w:r>
    </w:p>
    <w:p w14:paraId="79C948E8"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39FED4BB" w14:textId="77777777" w:rsidR="00E96301" w:rsidRPr="001243DE" w:rsidRDefault="00E96301" w:rsidP="00E96301">
      <w:pPr>
        <w:widowControl/>
        <w:numPr>
          <w:ilvl w:val="0"/>
          <w:numId w:val="49"/>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0033EBDE" w14:textId="77777777" w:rsidR="00E96301" w:rsidRPr="001243DE" w:rsidRDefault="00E96301" w:rsidP="00E96301">
      <w:pPr>
        <w:widowControl/>
        <w:numPr>
          <w:ilvl w:val="1"/>
          <w:numId w:val="49"/>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62EC66A2"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222A3D88" w14:textId="77777777" w:rsidR="00E96301" w:rsidRPr="001243DE" w:rsidRDefault="00E96301" w:rsidP="00E96301">
      <w:pPr>
        <w:widowControl/>
        <w:numPr>
          <w:ilvl w:val="3"/>
          <w:numId w:val="49"/>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498742C1" w14:textId="77777777" w:rsidR="00E96301" w:rsidRPr="001243DE" w:rsidRDefault="00E96301" w:rsidP="00E96301">
      <w:pPr>
        <w:widowControl/>
        <w:numPr>
          <w:ilvl w:val="3"/>
          <w:numId w:val="49"/>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518B05E"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32E035"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5DD05E31"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DBA7145" w14:textId="77777777" w:rsidR="00E96301" w:rsidRPr="001243DE" w:rsidRDefault="00E96301" w:rsidP="00E96301">
      <w:pPr>
        <w:widowControl/>
        <w:numPr>
          <w:ilvl w:val="2"/>
          <w:numId w:val="49"/>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60188FC9" w14:textId="77777777" w:rsidR="00E96301" w:rsidRPr="001243DE" w:rsidRDefault="00E96301" w:rsidP="00E96301">
      <w:pPr>
        <w:rPr>
          <w:rFonts w:cs="Times"/>
          <w:szCs w:val="20"/>
          <w:lang w:eastAsia="x-none"/>
        </w:rPr>
      </w:pPr>
      <w:r w:rsidRPr="001243DE">
        <w:rPr>
          <w:rFonts w:cs="Times"/>
          <w:szCs w:val="20"/>
          <w:highlight w:val="green"/>
          <w:lang w:eastAsia="x-none"/>
        </w:rPr>
        <w:lastRenderedPageBreak/>
        <w:t>Agreement:</w:t>
      </w:r>
    </w:p>
    <w:p w14:paraId="2950E9D6" w14:textId="5650541B" w:rsidR="00E96301" w:rsidRPr="00047356" w:rsidRDefault="00E96301" w:rsidP="00047356">
      <w:pPr>
        <w:pStyle w:val="ListParagraph"/>
        <w:numPr>
          <w:ilvl w:val="0"/>
          <w:numId w:val="49"/>
        </w:numPr>
        <w:ind w:leftChars="0"/>
        <w:rPr>
          <w:rFonts w:cs="Times"/>
          <w:szCs w:val="20"/>
          <w:lang w:eastAsia="x-none"/>
        </w:rPr>
      </w:pPr>
      <w:r w:rsidRPr="00047356">
        <w:rPr>
          <w:rFonts w:cs="Times"/>
          <w:szCs w:val="20"/>
          <w:lang w:eastAsia="x-none"/>
        </w:rPr>
        <w:t>Operation with multiple active BWPs for a carrier on unlicensed bands is not supported for DL or UL at least in Rel-16 NR-U WI.</w:t>
      </w:r>
    </w:p>
    <w:p w14:paraId="772327FC" w14:textId="7D7660A9" w:rsidR="00E96301" w:rsidRPr="00E96301" w:rsidRDefault="00047356" w:rsidP="00E96301">
      <w:pPr>
        <w:pStyle w:val="B10"/>
        <w:spacing w:before="120"/>
        <w:ind w:left="0" w:firstLine="0"/>
        <w:rPr>
          <w:lang w:val="en-US"/>
        </w:rPr>
      </w:pPr>
      <w:r>
        <w:rPr>
          <w:lang w:val="en-US"/>
        </w:rPr>
        <w:t>In this paper, we discuss further details on wideband BWP operation.</w:t>
      </w:r>
    </w:p>
    <w:p w14:paraId="4BE62D3E" w14:textId="713BFD21" w:rsidR="006C349A" w:rsidRPr="006C349A" w:rsidRDefault="006C349A" w:rsidP="006C349A">
      <w:pPr>
        <w:pStyle w:val="Heading1"/>
        <w:kinsoku w:val="0"/>
        <w:spacing w:after="0"/>
      </w:pPr>
      <w:r>
        <w:t>DL</w:t>
      </w:r>
      <w:r w:rsidR="0094414E">
        <w:t xml:space="preserve"> wideband BWP operation</w:t>
      </w:r>
    </w:p>
    <w:p w14:paraId="23106217" w14:textId="41672A88" w:rsidR="00047356" w:rsidRDefault="00047356">
      <w:pPr>
        <w:rPr>
          <w:lang w:val="en-GB" w:eastAsia="en-US"/>
        </w:rPr>
      </w:pPr>
      <w:r>
        <w:rPr>
          <w:lang w:val="en-GB" w:eastAsia="en-US"/>
        </w:rPr>
        <w:t>For DL wideband BWP operation, option 2 and option 3 have been agreed, and the detailed restrictions are being studied in RAN4.</w:t>
      </w:r>
    </w:p>
    <w:p w14:paraId="7889C52B" w14:textId="4C72146D" w:rsidR="00BC3E2F" w:rsidRDefault="00047356">
      <w:pPr>
        <w:rPr>
          <w:lang w:val="en-GB" w:eastAsia="en-US"/>
        </w:rPr>
      </w:pPr>
      <w:r>
        <w:rPr>
          <w:lang w:val="en-GB" w:eastAsia="en-US"/>
        </w:rPr>
        <w:t>The option 2 design is straight-forward. However, o</w:t>
      </w:r>
      <w:r w:rsidR="00BC3E2F">
        <w:rPr>
          <w:lang w:val="en-GB" w:eastAsia="en-US"/>
        </w:rPr>
        <w:t>ption 3 is more comple</w:t>
      </w:r>
      <w:r>
        <w:rPr>
          <w:lang w:val="en-GB" w:eastAsia="en-US"/>
        </w:rPr>
        <w:t>x</w:t>
      </w:r>
      <w:r w:rsidR="00BC3E2F">
        <w:rPr>
          <w:lang w:val="en-GB" w:eastAsia="en-US"/>
        </w:rPr>
        <w:t xml:space="preserve">, and at least the following </w:t>
      </w:r>
      <w:proofErr w:type="gramStart"/>
      <w:r w:rsidR="00BC3E2F">
        <w:rPr>
          <w:lang w:val="en-GB" w:eastAsia="en-US"/>
        </w:rPr>
        <w:t>has to</w:t>
      </w:r>
      <w:proofErr w:type="gramEnd"/>
      <w:r w:rsidR="00BC3E2F">
        <w:rPr>
          <w:lang w:val="en-GB" w:eastAsia="en-US"/>
        </w:rPr>
        <w:t xml:space="preserve"> be considered:</w:t>
      </w:r>
    </w:p>
    <w:p w14:paraId="60639F85" w14:textId="1C1EBDDE" w:rsidR="00BC3E2F" w:rsidRDefault="00BC3E2F" w:rsidP="00D77412">
      <w:pPr>
        <w:pStyle w:val="ListParagraph"/>
        <w:numPr>
          <w:ilvl w:val="0"/>
          <w:numId w:val="46"/>
        </w:numPr>
        <w:ind w:leftChars="0"/>
        <w:rPr>
          <w:lang w:val="en-GB" w:eastAsia="en-US"/>
        </w:rPr>
      </w:pPr>
      <w:r>
        <w:rPr>
          <w:lang w:val="en-GB" w:eastAsia="en-US"/>
        </w:rPr>
        <w:t>How to monitor the coreset</w:t>
      </w:r>
    </w:p>
    <w:p w14:paraId="6266B787" w14:textId="40E74DCF" w:rsidR="00BC3E2F" w:rsidRDefault="00BC3E2F" w:rsidP="00D77412">
      <w:pPr>
        <w:pStyle w:val="ListParagraph"/>
        <w:numPr>
          <w:ilvl w:val="0"/>
          <w:numId w:val="46"/>
        </w:numPr>
        <w:ind w:leftChars="0"/>
        <w:rPr>
          <w:lang w:val="en-GB" w:eastAsia="en-US"/>
        </w:rPr>
      </w:pPr>
      <w:r>
        <w:rPr>
          <w:lang w:val="en-GB" w:eastAsia="en-US"/>
        </w:rPr>
        <w:t>How to transmit PDSCH</w:t>
      </w:r>
    </w:p>
    <w:p w14:paraId="04A0C310" w14:textId="7B608F75" w:rsidR="001B7DFF" w:rsidRPr="007D7058" w:rsidRDefault="001B7DFF" w:rsidP="00D77412">
      <w:pPr>
        <w:pStyle w:val="ListParagraph"/>
        <w:numPr>
          <w:ilvl w:val="0"/>
          <w:numId w:val="46"/>
        </w:numPr>
        <w:ind w:leftChars="0"/>
        <w:rPr>
          <w:lang w:val="en-GB" w:eastAsia="en-US"/>
        </w:rPr>
      </w:pPr>
      <w:proofErr w:type="spellStart"/>
      <w:r>
        <w:rPr>
          <w:lang w:val="en-GB" w:eastAsia="en-US"/>
        </w:rPr>
        <w:t>Subband</w:t>
      </w:r>
      <w:proofErr w:type="spellEnd"/>
      <w:r>
        <w:rPr>
          <w:lang w:val="en-GB" w:eastAsia="en-US"/>
        </w:rPr>
        <w:t xml:space="preserve"> usage indication</w:t>
      </w:r>
    </w:p>
    <w:p w14:paraId="4970E141" w14:textId="263DD0AF" w:rsidR="002B2682" w:rsidRDefault="00BC3E2F">
      <w:pPr>
        <w:rPr>
          <w:lang w:val="en-GB" w:eastAsia="en-US"/>
        </w:rPr>
      </w:pPr>
      <w:r>
        <w:rPr>
          <w:lang w:val="en-GB" w:eastAsia="en-US"/>
        </w:rPr>
        <w:t xml:space="preserve">For coreset monitoring for Option 3, the requirement is, the UE can be schedulable if a subset of </w:t>
      </w:r>
      <w:proofErr w:type="spellStart"/>
      <w:r>
        <w:rPr>
          <w:lang w:val="en-GB" w:eastAsia="en-US"/>
        </w:rPr>
        <w:t>subbands</w:t>
      </w:r>
      <w:proofErr w:type="spellEnd"/>
      <w:r>
        <w:rPr>
          <w:lang w:val="en-GB" w:eastAsia="en-US"/>
        </w:rPr>
        <w:t xml:space="preserve"> in the BWP pass LBT. Note that before LBT, </w:t>
      </w:r>
      <w:r w:rsidR="004D1DB8">
        <w:rPr>
          <w:lang w:val="en-GB" w:eastAsia="en-US"/>
        </w:rPr>
        <w:t xml:space="preserve">the gNB does not know which </w:t>
      </w:r>
      <w:proofErr w:type="spellStart"/>
      <w:r w:rsidR="004D1DB8">
        <w:rPr>
          <w:lang w:val="en-GB" w:eastAsia="en-US"/>
        </w:rPr>
        <w:t>subband</w:t>
      </w:r>
      <w:proofErr w:type="spellEnd"/>
      <w:r w:rsidR="004D1DB8">
        <w:rPr>
          <w:lang w:val="en-GB" w:eastAsia="en-US"/>
        </w:rPr>
        <w:t xml:space="preserve">(s) can be used in the COT, and UE does not know which </w:t>
      </w:r>
      <w:proofErr w:type="spellStart"/>
      <w:r w:rsidR="004D1DB8">
        <w:rPr>
          <w:lang w:val="en-GB" w:eastAsia="en-US"/>
        </w:rPr>
        <w:t>subband</w:t>
      </w:r>
      <w:proofErr w:type="spellEnd"/>
      <w:r w:rsidR="004D1DB8">
        <w:rPr>
          <w:lang w:val="en-GB" w:eastAsia="en-US"/>
        </w:rPr>
        <w:t xml:space="preserve">(s) will be active and carry PDCCH as well. </w:t>
      </w:r>
      <w:r w:rsidR="000967DC">
        <w:rPr>
          <w:lang w:val="en-GB" w:eastAsia="en-US"/>
        </w:rPr>
        <w:t>A</w:t>
      </w:r>
      <w:r w:rsidR="002B2682">
        <w:rPr>
          <w:lang w:val="en-GB" w:eastAsia="en-US"/>
        </w:rPr>
        <w:t xml:space="preserve"> simple solution is to</w:t>
      </w:r>
      <w:r w:rsidR="000967DC">
        <w:rPr>
          <w:lang w:val="en-GB" w:eastAsia="en-US"/>
        </w:rPr>
        <w:t xml:space="preserve"> define multiple coreset</w:t>
      </w:r>
      <w:r w:rsidR="002B2682">
        <w:rPr>
          <w:lang w:val="en-GB" w:eastAsia="en-US"/>
        </w:rPr>
        <w:t xml:space="preserve">s, one in each </w:t>
      </w:r>
      <w:proofErr w:type="spellStart"/>
      <w:r w:rsidR="002B2682">
        <w:rPr>
          <w:lang w:val="en-GB" w:eastAsia="en-US"/>
        </w:rPr>
        <w:t>subband</w:t>
      </w:r>
      <w:proofErr w:type="spellEnd"/>
      <w:r w:rsidR="002B2682">
        <w:rPr>
          <w:lang w:val="en-GB" w:eastAsia="en-US"/>
        </w:rPr>
        <w:t xml:space="preserve"> (</w:t>
      </w:r>
      <w:r w:rsidR="002B2682">
        <w:rPr>
          <w:lang w:val="en-GB" w:eastAsia="en-US"/>
        </w:rPr>
        <w:fldChar w:fldCharType="begin"/>
      </w:r>
      <w:r w:rsidR="002B2682">
        <w:rPr>
          <w:lang w:val="en-GB" w:eastAsia="en-US"/>
        </w:rPr>
        <w:instrText xml:space="preserve"> REF _Ref534829114 \h </w:instrText>
      </w:r>
      <w:r w:rsidR="002B2682">
        <w:rPr>
          <w:lang w:val="en-GB" w:eastAsia="en-US"/>
        </w:rPr>
      </w:r>
      <w:r w:rsidR="002B2682">
        <w:rPr>
          <w:lang w:val="en-GB" w:eastAsia="en-US"/>
        </w:rPr>
        <w:fldChar w:fldCharType="separate"/>
      </w:r>
      <w:r w:rsidR="00D80B5F">
        <w:t xml:space="preserve">Figure </w:t>
      </w:r>
      <w:r w:rsidR="00D80B5F">
        <w:rPr>
          <w:noProof/>
        </w:rPr>
        <w:t>1</w:t>
      </w:r>
      <w:r w:rsidR="002B2682">
        <w:rPr>
          <w:lang w:val="en-GB" w:eastAsia="en-US"/>
        </w:rPr>
        <w:fldChar w:fldCharType="end"/>
      </w:r>
      <w:r w:rsidR="000967DC">
        <w:rPr>
          <w:lang w:val="en-GB" w:eastAsia="en-US"/>
        </w:rPr>
        <w:t xml:space="preserve">). </w:t>
      </w:r>
      <w:r w:rsidR="002B2682">
        <w:rPr>
          <w:lang w:val="en-GB" w:eastAsia="en-US"/>
        </w:rPr>
        <w:t xml:space="preserve">However, Rel.15 NR has limitations </w:t>
      </w:r>
      <w:r w:rsidR="007D7058">
        <w:rPr>
          <w:lang w:val="en-GB" w:eastAsia="en-US"/>
        </w:rPr>
        <w:t xml:space="preserve">on the number of coresets </w:t>
      </w:r>
      <w:r w:rsidR="002B2682">
        <w:rPr>
          <w:lang w:val="en-GB" w:eastAsia="en-US"/>
        </w:rPr>
        <w:t xml:space="preserve">and </w:t>
      </w:r>
      <w:r w:rsidR="007D7058">
        <w:rPr>
          <w:lang w:val="en-GB" w:eastAsia="en-US"/>
        </w:rPr>
        <w:t xml:space="preserve">the </w:t>
      </w:r>
      <w:r w:rsidR="002B2682">
        <w:rPr>
          <w:lang w:val="en-GB" w:eastAsia="en-US"/>
        </w:rPr>
        <w:t xml:space="preserve">number of search space sets. These limitations will be quickly reached if there are multiple </w:t>
      </w:r>
      <w:proofErr w:type="spellStart"/>
      <w:r w:rsidR="002B2682">
        <w:rPr>
          <w:lang w:val="en-GB" w:eastAsia="en-US"/>
        </w:rPr>
        <w:t>subbands</w:t>
      </w:r>
      <w:proofErr w:type="spellEnd"/>
      <w:r w:rsidR="002F1063">
        <w:rPr>
          <w:lang w:val="en-GB" w:eastAsia="en-US"/>
        </w:rPr>
        <w:t xml:space="preserve"> and coresets are defined for each </w:t>
      </w:r>
      <w:proofErr w:type="spellStart"/>
      <w:r w:rsidR="002F1063">
        <w:rPr>
          <w:lang w:val="en-GB" w:eastAsia="en-US"/>
        </w:rPr>
        <w:t>subband</w:t>
      </w:r>
      <w:proofErr w:type="spellEnd"/>
      <w:r w:rsidR="002B2682">
        <w:rPr>
          <w:lang w:val="en-GB" w:eastAsia="en-US"/>
        </w:rPr>
        <w:t>.</w:t>
      </w:r>
    </w:p>
    <w:p w14:paraId="37675172" w14:textId="08C1D1C3" w:rsidR="000967DC" w:rsidRDefault="000967DC">
      <w:pPr>
        <w:rPr>
          <w:lang w:val="en-GB" w:eastAsia="en-US"/>
        </w:rPr>
      </w:pPr>
      <w:r>
        <w:rPr>
          <w:lang w:val="en-GB" w:eastAsia="en-US"/>
        </w:rPr>
        <w:t xml:space="preserve">It turns out Rel.15 NR coreset design </w:t>
      </w:r>
      <w:r w:rsidR="002B2682">
        <w:rPr>
          <w:lang w:val="en-GB" w:eastAsia="en-US"/>
        </w:rPr>
        <w:t xml:space="preserve">is </w:t>
      </w:r>
      <w:r w:rsidR="006A75FF">
        <w:rPr>
          <w:lang w:val="en-GB" w:eastAsia="en-US"/>
        </w:rPr>
        <w:t xml:space="preserve">quite </w:t>
      </w:r>
      <w:r w:rsidR="002B2682">
        <w:rPr>
          <w:lang w:val="en-GB" w:eastAsia="en-US"/>
        </w:rPr>
        <w:t xml:space="preserve">flexible to </w:t>
      </w:r>
      <w:r>
        <w:rPr>
          <w:lang w:val="en-GB" w:eastAsia="en-US"/>
        </w:rPr>
        <w:t xml:space="preserve">support </w:t>
      </w:r>
      <w:r w:rsidR="002B2682">
        <w:rPr>
          <w:lang w:val="en-GB" w:eastAsia="en-US"/>
        </w:rPr>
        <w:t xml:space="preserve">dynamic </w:t>
      </w:r>
      <w:proofErr w:type="spellStart"/>
      <w:r w:rsidR="002B2682">
        <w:rPr>
          <w:lang w:val="en-GB" w:eastAsia="en-US"/>
        </w:rPr>
        <w:t>subband</w:t>
      </w:r>
      <w:proofErr w:type="spellEnd"/>
      <w:r w:rsidR="002B2682">
        <w:rPr>
          <w:lang w:val="en-GB" w:eastAsia="en-US"/>
        </w:rPr>
        <w:t xml:space="preserve"> usage</w:t>
      </w:r>
      <w:r>
        <w:rPr>
          <w:lang w:val="en-GB" w:eastAsia="en-US"/>
        </w:rPr>
        <w:t xml:space="preserve">.  </w:t>
      </w:r>
    </w:p>
    <w:p w14:paraId="22B39A00" w14:textId="18520268" w:rsidR="00787477" w:rsidRDefault="002B2682">
      <w:pPr>
        <w:rPr>
          <w:lang w:val="en-GB" w:eastAsia="en-US"/>
        </w:rPr>
      </w:pPr>
      <w:r>
        <w:rPr>
          <w:lang w:val="en-GB" w:eastAsia="en-US"/>
        </w:rPr>
        <w:t>One way to configure coreset is forming the coreset</w:t>
      </w:r>
      <w:r w:rsidR="000967DC">
        <w:rPr>
          <w:lang w:val="en-GB" w:eastAsia="en-US"/>
        </w:rPr>
        <w:t xml:space="preserve"> by RBs in </w:t>
      </w:r>
      <w:r w:rsidR="00787477">
        <w:rPr>
          <w:lang w:val="en-GB" w:eastAsia="en-US"/>
        </w:rPr>
        <w:t>multiple cluster</w:t>
      </w:r>
      <w:r w:rsidR="000967DC">
        <w:rPr>
          <w:lang w:val="en-GB" w:eastAsia="en-US"/>
        </w:rPr>
        <w:t xml:space="preserve">s, where each cluster is over a continuous </w:t>
      </w:r>
      <w:r>
        <w:rPr>
          <w:lang w:val="en-GB" w:eastAsia="en-US"/>
        </w:rPr>
        <w:t>set of RBs. For example, t</w:t>
      </w:r>
      <w:r w:rsidR="000967DC">
        <w:rPr>
          <w:lang w:val="en-GB" w:eastAsia="en-US"/>
        </w:rPr>
        <w:t>o support Option 3 ov</w:t>
      </w:r>
      <w:r>
        <w:rPr>
          <w:lang w:val="en-GB" w:eastAsia="en-US"/>
        </w:rPr>
        <w:t>er</w:t>
      </w:r>
      <w:r w:rsidR="000967DC">
        <w:rPr>
          <w:lang w:val="en-GB" w:eastAsia="en-US"/>
        </w:rPr>
        <w:t xml:space="preserve"> 80MHz, the gNB can configure a coreset with </w:t>
      </w:r>
      <w:r>
        <w:rPr>
          <w:lang w:val="en-GB" w:eastAsia="en-US"/>
        </w:rPr>
        <w:t xml:space="preserve">4 clusters, where each cluster is localized in one </w:t>
      </w:r>
      <w:proofErr w:type="spellStart"/>
      <w:r>
        <w:rPr>
          <w:lang w:val="en-GB" w:eastAsia="en-US"/>
        </w:rPr>
        <w:t>subband</w:t>
      </w:r>
      <w:proofErr w:type="spellEnd"/>
      <w:r>
        <w:rPr>
          <w:lang w:val="en-GB" w:eastAsia="en-US"/>
        </w:rPr>
        <w:t xml:space="preserve">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D80B5F">
        <w:t xml:space="preserve">Figure </w:t>
      </w:r>
      <w:r w:rsidR="00D80B5F">
        <w:rPr>
          <w:noProof/>
        </w:rPr>
        <w:t>2</w:t>
      </w:r>
      <w:r>
        <w:rPr>
          <w:lang w:val="en-GB" w:eastAsia="en-US"/>
        </w:rPr>
        <w:fldChar w:fldCharType="end"/>
      </w:r>
      <w:r>
        <w:rPr>
          <w:lang w:val="en-GB" w:eastAsia="en-US"/>
        </w:rPr>
        <w:t xml:space="preserve">,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D80B5F">
        <w:t xml:space="preserve">Figure </w:t>
      </w:r>
      <w:r w:rsidR="00D80B5F">
        <w:rPr>
          <w:noProof/>
        </w:rPr>
        <w:t>3</w:t>
      </w:r>
      <w:r>
        <w:rPr>
          <w:lang w:val="en-GB" w:eastAsia="en-US"/>
        </w:rPr>
        <w:fldChar w:fldCharType="end"/>
      </w:r>
      <w:r>
        <w:rPr>
          <w:lang w:val="en-GB" w:eastAsia="en-US"/>
        </w:rPr>
        <w:t>). The coreset can be interleaved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D80B5F">
        <w:t xml:space="preserve">Figure </w:t>
      </w:r>
      <w:r w:rsidR="00D80B5F">
        <w:rPr>
          <w:noProof/>
        </w:rPr>
        <w:t>2</w:t>
      </w:r>
      <w:r>
        <w:rPr>
          <w:lang w:val="en-GB" w:eastAsia="en-US"/>
        </w:rPr>
        <w:fldChar w:fldCharType="end"/>
      </w:r>
      <w:r>
        <w:rPr>
          <w:lang w:val="en-GB" w:eastAsia="en-US"/>
        </w:rPr>
        <w:t>) or localized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D80B5F">
        <w:t xml:space="preserve">Figure </w:t>
      </w:r>
      <w:r w:rsidR="00D80B5F">
        <w:rPr>
          <w:noProof/>
        </w:rPr>
        <w:t>3</w:t>
      </w:r>
      <w:r>
        <w:rPr>
          <w:lang w:val="en-GB" w:eastAsia="en-US"/>
        </w:rPr>
        <w:fldChar w:fldCharType="end"/>
      </w:r>
      <w:r>
        <w:rPr>
          <w:lang w:val="en-GB" w:eastAsia="en-US"/>
        </w:rPr>
        <w:t xml:space="preserve">). When a subset of </w:t>
      </w:r>
      <w:proofErr w:type="spellStart"/>
      <w:r>
        <w:rPr>
          <w:lang w:val="en-GB" w:eastAsia="en-US"/>
        </w:rPr>
        <w:t>subbands</w:t>
      </w:r>
      <w:proofErr w:type="spellEnd"/>
      <w:r>
        <w:rPr>
          <w:lang w:val="en-GB" w:eastAsia="en-US"/>
        </w:rPr>
        <w:t xml:space="preserve"> pass LBT, only the clusters of the coreset within those </w:t>
      </w:r>
      <w:proofErr w:type="spellStart"/>
      <w:r>
        <w:rPr>
          <w:lang w:val="en-GB" w:eastAsia="en-US"/>
        </w:rPr>
        <w:t>subbands</w:t>
      </w:r>
      <w:proofErr w:type="spellEnd"/>
      <w:r>
        <w:rPr>
          <w:lang w:val="en-GB" w:eastAsia="en-US"/>
        </w:rPr>
        <w:t xml:space="preserve"> will be transmitted.</w:t>
      </w:r>
    </w:p>
    <w:p w14:paraId="34BCBAC3" w14:textId="77777777" w:rsidR="002B2682" w:rsidRDefault="000967DC" w:rsidP="00D77412">
      <w:pPr>
        <w:keepNext/>
      </w:pPr>
      <w:r w:rsidRPr="000967DC">
        <w:rPr>
          <w:lang w:eastAsia="en-US"/>
        </w:rPr>
        <w:object w:dxaOrig="13636" w:dyaOrig="4036" w14:anchorId="4E4E8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5pt;height:138.65pt" o:ole="">
            <v:imagedata r:id="rId13" o:title=""/>
          </v:shape>
          <o:OLEObject Type="Embed" ProgID="Visio.Drawing.15" ShapeID="_x0000_i1025" DrawAspect="Content" ObjectID="_1611739001" r:id="rId14"/>
        </w:object>
      </w:r>
      <w:bookmarkStart w:id="0" w:name="_GoBack"/>
      <w:bookmarkEnd w:id="0"/>
    </w:p>
    <w:p w14:paraId="47DB156C" w14:textId="717297E0" w:rsidR="000967DC" w:rsidRPr="000967DC" w:rsidRDefault="002B2682" w:rsidP="00D77412">
      <w:pPr>
        <w:pStyle w:val="Caption"/>
        <w:jc w:val="both"/>
      </w:pPr>
      <w:bookmarkStart w:id="1" w:name="_Ref534829114"/>
      <w:r>
        <w:t xml:space="preserve">Figure </w:t>
      </w:r>
      <w:r>
        <w:fldChar w:fldCharType="begin"/>
      </w:r>
      <w:r>
        <w:instrText xml:space="preserve"> SEQ Figure \* ARABIC </w:instrText>
      </w:r>
      <w:r>
        <w:fldChar w:fldCharType="separate"/>
      </w:r>
      <w:r w:rsidR="00D80B5F">
        <w:rPr>
          <w:noProof/>
        </w:rPr>
        <w:t>1</w:t>
      </w:r>
      <w:r>
        <w:fldChar w:fldCharType="end"/>
      </w:r>
      <w:bookmarkEnd w:id="1"/>
      <w:r>
        <w:t>. Coreset configuration example with one coreset per subband</w:t>
      </w:r>
    </w:p>
    <w:p w14:paraId="008F0A6E" w14:textId="2542C554" w:rsidR="000967DC" w:rsidRDefault="002B2682">
      <w:pPr>
        <w:rPr>
          <w:lang w:val="en-GB" w:eastAsia="en-US"/>
        </w:rPr>
      </w:pPr>
      <w:r>
        <w:rPr>
          <w:lang w:val="en-GB" w:eastAsia="en-US"/>
        </w:rPr>
        <w:t xml:space="preserve">In interleaved coreset case, each PDCCH will have some REGs in each cluster (the parameters of the coreset and search space may need to be picked carefully to achieve this goal). </w:t>
      </w:r>
      <w:r w:rsidR="007D7058">
        <w:rPr>
          <w:lang w:val="en-GB" w:eastAsia="en-US"/>
        </w:rPr>
        <w:t>In this case,</w:t>
      </w:r>
      <w:r>
        <w:rPr>
          <w:lang w:val="en-GB" w:eastAsia="en-US"/>
        </w:rPr>
        <w:t xml:space="preserve"> even </w:t>
      </w:r>
      <w:r w:rsidR="007D7058">
        <w:rPr>
          <w:lang w:val="en-GB" w:eastAsia="en-US"/>
        </w:rPr>
        <w:t xml:space="preserve">if </w:t>
      </w:r>
      <w:r>
        <w:rPr>
          <w:lang w:val="en-GB" w:eastAsia="en-US"/>
        </w:rPr>
        <w:t>some of the clusters are punctured, the UE can still decode the PDCCH using the remaining REGs for the PDCCH.</w:t>
      </w:r>
    </w:p>
    <w:p w14:paraId="463CD9F4" w14:textId="0AF1A940" w:rsidR="000967DC" w:rsidRDefault="000967DC">
      <w:pPr>
        <w:rPr>
          <w:lang w:val="en-GB" w:eastAsia="en-US"/>
        </w:rPr>
      </w:pPr>
      <w:r w:rsidRPr="000967DC">
        <w:rPr>
          <w:lang w:eastAsia="en-US"/>
        </w:rPr>
        <w:object w:dxaOrig="13351" w:dyaOrig="4336" w14:anchorId="5A480165">
          <v:shape id="_x0000_i1026" type="#_x0000_t75" style="width:468pt;height:152.05pt" o:ole="">
            <v:imagedata r:id="rId15" o:title=""/>
          </v:shape>
          <o:OLEObject Type="Embed" ProgID="Visio.Drawing.15" ShapeID="_x0000_i1026" DrawAspect="Content" ObjectID="_1611739002" r:id="rId16"/>
        </w:object>
      </w:r>
    </w:p>
    <w:p w14:paraId="15984AB0" w14:textId="373A1E54" w:rsidR="002B2682" w:rsidRPr="000967DC" w:rsidRDefault="002B2682" w:rsidP="002B2682">
      <w:pPr>
        <w:pStyle w:val="Caption"/>
        <w:jc w:val="both"/>
      </w:pPr>
      <w:bookmarkStart w:id="2" w:name="_Ref534829331"/>
      <w:r>
        <w:t xml:space="preserve">Figure </w:t>
      </w:r>
      <w:r>
        <w:fldChar w:fldCharType="begin"/>
      </w:r>
      <w:r>
        <w:instrText xml:space="preserve"> SEQ Figure \* ARABIC </w:instrText>
      </w:r>
      <w:r>
        <w:fldChar w:fldCharType="separate"/>
      </w:r>
      <w:r w:rsidR="00D80B5F">
        <w:rPr>
          <w:noProof/>
        </w:rPr>
        <w:t>2</w:t>
      </w:r>
      <w:r>
        <w:fldChar w:fldCharType="end"/>
      </w:r>
      <w:bookmarkEnd w:id="2"/>
      <w:r>
        <w:t>. Coreset configuration example with one interleaved discontinuous coreset over all subbands</w:t>
      </w:r>
    </w:p>
    <w:p w14:paraId="0785BCC8" w14:textId="17BF246C" w:rsidR="002B2682" w:rsidRDefault="002B2682" w:rsidP="002B2682">
      <w:pPr>
        <w:rPr>
          <w:lang w:val="en-GB" w:eastAsia="en-US"/>
        </w:rPr>
      </w:pPr>
      <w:r>
        <w:rPr>
          <w:lang w:val="en-GB" w:eastAsia="en-US"/>
        </w:rPr>
        <w:t xml:space="preserve">In localized coreset case, each PDCCH will be localized in one cluster (the parameters of the coreset and search space may need to be picked carefully to achieve this goal). If some of the clusters are punctured, the PDCCH in the remaining clusters will not be affected and can be decoded. </w:t>
      </w:r>
    </w:p>
    <w:p w14:paraId="345F4551" w14:textId="74440F6E" w:rsidR="000967DC" w:rsidRDefault="000967DC">
      <w:pPr>
        <w:rPr>
          <w:lang w:val="en-GB" w:eastAsia="en-US"/>
        </w:rPr>
      </w:pPr>
      <w:r w:rsidRPr="000967DC">
        <w:rPr>
          <w:lang w:eastAsia="en-US"/>
        </w:rPr>
        <w:object w:dxaOrig="13636" w:dyaOrig="4036" w14:anchorId="1BDDFB0D">
          <v:shape id="_x0000_i1027" type="#_x0000_t75" style="width:468.55pt;height:138.65pt" o:ole="">
            <v:imagedata r:id="rId17" o:title=""/>
          </v:shape>
          <o:OLEObject Type="Embed" ProgID="Visio.Drawing.15" ShapeID="_x0000_i1027" DrawAspect="Content" ObjectID="_1611739003" r:id="rId18"/>
        </w:object>
      </w:r>
    </w:p>
    <w:p w14:paraId="0CF663FB" w14:textId="7D449D39" w:rsidR="002B2682" w:rsidRPr="000967DC" w:rsidRDefault="002B2682" w:rsidP="002B2682">
      <w:pPr>
        <w:pStyle w:val="Caption"/>
        <w:jc w:val="both"/>
      </w:pPr>
      <w:bookmarkStart w:id="3" w:name="_Ref534829334"/>
      <w:r>
        <w:t xml:space="preserve">Figure </w:t>
      </w:r>
      <w:r>
        <w:fldChar w:fldCharType="begin"/>
      </w:r>
      <w:r>
        <w:instrText xml:space="preserve"> SEQ Figure \* ARABIC </w:instrText>
      </w:r>
      <w:r>
        <w:fldChar w:fldCharType="separate"/>
      </w:r>
      <w:r w:rsidR="00D80B5F">
        <w:rPr>
          <w:noProof/>
        </w:rPr>
        <w:t>3</w:t>
      </w:r>
      <w:r>
        <w:fldChar w:fldCharType="end"/>
      </w:r>
      <w:bookmarkEnd w:id="3"/>
      <w:r>
        <w:t>. Coreset configuration example with one localized discontinuous coreset over all subbands</w:t>
      </w:r>
    </w:p>
    <w:p w14:paraId="7210E38C" w14:textId="07931BAD" w:rsidR="002B2682" w:rsidRPr="00D77412" w:rsidRDefault="004C167C">
      <w:pPr>
        <w:rPr>
          <w:b/>
          <w:lang w:val="en-GB" w:eastAsia="en-US"/>
        </w:rPr>
      </w:pPr>
      <w:bookmarkStart w:id="4" w:name="p4"/>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D80B5F">
        <w:rPr>
          <w:b/>
          <w:noProof/>
          <w:lang w:val="en-GB" w:eastAsia="en-US"/>
        </w:rPr>
        <w:t>1</w:t>
      </w:r>
      <w:r w:rsidRPr="00D77412">
        <w:rPr>
          <w:b/>
          <w:lang w:val="en-GB" w:eastAsia="en-US"/>
        </w:rPr>
        <w:fldChar w:fldCharType="end"/>
      </w:r>
      <w:r w:rsidRPr="00D77412">
        <w:rPr>
          <w:b/>
          <w:lang w:val="en-GB" w:eastAsia="en-US"/>
        </w:rPr>
        <w:t xml:space="preserve">: Rel.15 NR wideband multi-cluster coreset </w:t>
      </w:r>
      <w:r w:rsidR="006A75FF">
        <w:rPr>
          <w:b/>
          <w:lang w:val="en-GB" w:eastAsia="en-US"/>
        </w:rPr>
        <w:t xml:space="preserve">with possible extensions </w:t>
      </w:r>
      <w:r w:rsidRPr="00D77412">
        <w:rPr>
          <w:b/>
          <w:lang w:val="en-GB" w:eastAsia="en-US"/>
        </w:rPr>
        <w:t>can be used to support subband based access of wideband BWP.</w:t>
      </w:r>
    </w:p>
    <w:bookmarkEnd w:id="4"/>
    <w:p w14:paraId="234CFE54" w14:textId="099B65C8" w:rsidR="004C167C" w:rsidRDefault="004C167C">
      <w:pPr>
        <w:rPr>
          <w:lang w:val="en-GB" w:eastAsia="en-US"/>
        </w:rPr>
      </w:pPr>
      <w:r>
        <w:rPr>
          <w:lang w:val="en-GB" w:eastAsia="en-US"/>
        </w:rPr>
        <w:t xml:space="preserve">For the PDSCH transmission, since NR uses frequency first mapping, if a PDSCH crosses multiple subbands and some of the subbands are punctured due to LBT failure, the decoding for each CB will be affected. However, NR has natural HARQ retransmission to handle the failures. </w:t>
      </w:r>
      <w:r w:rsidR="001B7DFF">
        <w:rPr>
          <w:lang w:val="en-GB" w:eastAsia="en-US"/>
        </w:rPr>
        <w:t xml:space="preserve">On the other hand, if there are multiple UEs to schedule in DL, and each UE’s PDSCH is restricted to one subband, then the PDSCH to the UE is either fully punctured or fully transmitted in frequency domain. </w:t>
      </w:r>
      <w:r w:rsidR="00E57016">
        <w:rPr>
          <w:lang w:val="en-GB" w:eastAsia="en-US"/>
        </w:rPr>
        <w:t xml:space="preserve">For example, in </w:t>
      </w:r>
      <w:r w:rsidR="00E57016">
        <w:rPr>
          <w:lang w:val="en-GB" w:eastAsia="en-US"/>
        </w:rPr>
        <w:fldChar w:fldCharType="begin"/>
      </w:r>
      <w:r w:rsidR="00E57016">
        <w:rPr>
          <w:lang w:val="en-GB" w:eastAsia="en-US"/>
        </w:rPr>
        <w:instrText xml:space="preserve"> REF _Ref534913715 \h </w:instrText>
      </w:r>
      <w:r w:rsidR="00E57016">
        <w:rPr>
          <w:lang w:val="en-GB" w:eastAsia="en-US"/>
        </w:rPr>
      </w:r>
      <w:r w:rsidR="00E57016">
        <w:rPr>
          <w:lang w:val="en-GB" w:eastAsia="en-US"/>
        </w:rPr>
        <w:fldChar w:fldCharType="separate"/>
      </w:r>
      <w:r w:rsidR="00D80B5F">
        <w:t xml:space="preserve">Figure </w:t>
      </w:r>
      <w:r w:rsidR="00D80B5F">
        <w:rPr>
          <w:noProof/>
        </w:rPr>
        <w:t>4</w:t>
      </w:r>
      <w:r w:rsidR="00E57016">
        <w:rPr>
          <w:lang w:val="en-GB" w:eastAsia="en-US"/>
        </w:rPr>
        <w:fldChar w:fldCharType="end"/>
      </w:r>
      <w:r w:rsidR="00E57016">
        <w:rPr>
          <w:lang w:val="en-GB" w:eastAsia="en-US"/>
        </w:rPr>
        <w:t xml:space="preserve">, we show a case where gNB plans to schedule three UEs. One on subband 0, one on subband 1 and another on subband 2 and 3. LBT passes on subband 0,1,3 and fails on subband 2. PDSCH for UE1 and UE2 are sent without any issues. However, for UE3, since gNB does not have too much time to react to the LBT failure, it continues to transmit portion of the PDSCH on subband 3 but punctures the portion of the PDSCH on subband 2. At a later time, it </w:t>
      </w:r>
      <w:r w:rsidR="006B5946">
        <w:rPr>
          <w:lang w:val="en-GB" w:eastAsia="en-US"/>
        </w:rPr>
        <w:t xml:space="preserve">starts </w:t>
      </w:r>
      <w:r w:rsidR="00E57016">
        <w:rPr>
          <w:lang w:val="en-GB" w:eastAsia="en-US"/>
        </w:rPr>
        <w:t>avoid</w:t>
      </w:r>
      <w:r w:rsidR="006B5946">
        <w:rPr>
          <w:lang w:val="en-GB" w:eastAsia="en-US"/>
        </w:rPr>
        <w:t>ing</w:t>
      </w:r>
      <w:r w:rsidR="00E57016">
        <w:rPr>
          <w:lang w:val="en-GB" w:eastAsia="en-US"/>
        </w:rPr>
        <w:t xml:space="preserve"> scheduling on subband 2. More advanced gNBs may have different sets of PDSCH(s) prepared for different LBT outcomes and can even avoid such puncturing.</w:t>
      </w:r>
    </w:p>
    <w:p w14:paraId="09FD3C6C" w14:textId="77777777" w:rsidR="00E57016" w:rsidRDefault="00E57016" w:rsidP="00D77412">
      <w:pPr>
        <w:keepNext/>
        <w:jc w:val="center"/>
      </w:pPr>
      <w:r>
        <w:rPr>
          <w:lang w:val="en-GB" w:eastAsia="en-US"/>
        </w:rPr>
        <w:object w:dxaOrig="9421" w:dyaOrig="7021" w14:anchorId="3B1BEC0F">
          <v:shape id="_x0000_i1028" type="#_x0000_t75" style="width:394.4pt;height:293.9pt" o:ole="">
            <v:imagedata r:id="rId19" o:title=""/>
          </v:shape>
          <o:OLEObject Type="Embed" ProgID="Visio.Drawing.11" ShapeID="_x0000_i1028" DrawAspect="Content" ObjectID="_1611739004" r:id="rId20"/>
        </w:object>
      </w:r>
    </w:p>
    <w:p w14:paraId="55CA2C66" w14:textId="4A990E3D" w:rsidR="001B7DFF" w:rsidRDefault="00E57016" w:rsidP="00D77412">
      <w:pPr>
        <w:pStyle w:val="Caption"/>
        <w:jc w:val="center"/>
      </w:pPr>
      <w:bookmarkStart w:id="5" w:name="_Ref534913715"/>
      <w:r>
        <w:t xml:space="preserve">Figure </w:t>
      </w:r>
      <w:r>
        <w:fldChar w:fldCharType="begin"/>
      </w:r>
      <w:r>
        <w:instrText xml:space="preserve"> SEQ Figure \* ARABIC </w:instrText>
      </w:r>
      <w:r>
        <w:fldChar w:fldCharType="separate"/>
      </w:r>
      <w:r w:rsidR="00D80B5F">
        <w:rPr>
          <w:noProof/>
        </w:rPr>
        <w:t>4</w:t>
      </w:r>
      <w:r>
        <w:fldChar w:fldCharType="end"/>
      </w:r>
      <w:bookmarkEnd w:id="5"/>
      <w:r>
        <w:t>: DL operation with option 3</w:t>
      </w:r>
    </w:p>
    <w:p w14:paraId="3DD24CC8" w14:textId="2865293A" w:rsidR="001B7DFF" w:rsidRDefault="001B7DFF">
      <w:pPr>
        <w:rPr>
          <w:lang w:val="en-GB" w:eastAsia="en-US"/>
        </w:rPr>
      </w:pPr>
      <w:r>
        <w:rPr>
          <w:lang w:val="en-GB" w:eastAsia="en-US"/>
        </w:rPr>
        <w:t>After the LBT, the gNB knows which subbands can be used in the current COT. It will be beneficial to eventually indicate to the UE the subband usage. For example, when the subband usage is known, the UE can adjust the PDCCH monitoring to allocate the blind decodings to the coreset clusters in the used subbands only. We propose the include the subband usage information in the COT structure indication as well, as similar to duration, the bandwidth is part of the COT structure after all.</w:t>
      </w:r>
    </w:p>
    <w:p w14:paraId="585B7C1C" w14:textId="23AB61EC" w:rsidR="001B7DFF" w:rsidRPr="00D77412" w:rsidRDefault="001B7DFF">
      <w:pPr>
        <w:rPr>
          <w:b/>
          <w:lang w:val="en-GB" w:eastAsia="en-US"/>
        </w:rPr>
      </w:pPr>
      <w:bookmarkStart w:id="6" w:name="p5"/>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D80B5F">
        <w:rPr>
          <w:b/>
          <w:noProof/>
          <w:lang w:val="en-GB" w:eastAsia="en-US"/>
        </w:rPr>
        <w:t>2</w:t>
      </w:r>
      <w:r w:rsidRPr="00D77412">
        <w:rPr>
          <w:b/>
          <w:lang w:val="en-GB" w:eastAsia="en-US"/>
        </w:rPr>
        <w:fldChar w:fldCharType="end"/>
      </w:r>
      <w:r w:rsidRPr="00D77412">
        <w:rPr>
          <w:b/>
          <w:lang w:val="en-GB" w:eastAsia="en-US"/>
        </w:rPr>
        <w:t xml:space="preserve">. </w:t>
      </w:r>
      <w:r w:rsidR="00316C5A" w:rsidRPr="00D77412">
        <w:rPr>
          <w:b/>
          <w:lang w:val="en-GB" w:eastAsia="en-US"/>
        </w:rPr>
        <w:t xml:space="preserve">Include the subband usage information </w:t>
      </w:r>
      <w:r w:rsidR="0069728A">
        <w:rPr>
          <w:b/>
          <w:lang w:val="en-GB" w:eastAsia="en-US"/>
        </w:rPr>
        <w:t>as part of</w:t>
      </w:r>
      <w:r w:rsidR="00316C5A" w:rsidRPr="00D77412">
        <w:rPr>
          <w:b/>
          <w:lang w:val="en-GB" w:eastAsia="en-US"/>
        </w:rPr>
        <w:t xml:space="preserve"> the COT structure indication.</w:t>
      </w:r>
    </w:p>
    <w:bookmarkEnd w:id="6"/>
    <w:p w14:paraId="21A398F5" w14:textId="3051CCF2" w:rsidR="006C349A" w:rsidRDefault="006C349A" w:rsidP="00601374">
      <w:pPr>
        <w:pStyle w:val="Heading1"/>
        <w:kinsoku w:val="0"/>
        <w:spacing w:after="0"/>
      </w:pPr>
      <w:r>
        <w:t>UL</w:t>
      </w:r>
      <w:r w:rsidR="0094414E">
        <w:t xml:space="preserve"> wideband BWP operation</w:t>
      </w:r>
    </w:p>
    <w:p w14:paraId="798D41C2" w14:textId="48F0AECE" w:rsidR="00D77412" w:rsidRDefault="00316C5A" w:rsidP="00D77412">
      <w:pPr>
        <w:rPr>
          <w:lang w:val="en-GB" w:eastAsia="en-US"/>
        </w:rPr>
      </w:pPr>
      <w:r>
        <w:rPr>
          <w:lang w:val="en-GB" w:eastAsia="en-US"/>
        </w:rPr>
        <w:t xml:space="preserve">For UL transmission, </w:t>
      </w:r>
      <w:proofErr w:type="gramStart"/>
      <w:r>
        <w:rPr>
          <w:lang w:val="en-GB" w:eastAsia="en-US"/>
        </w:rPr>
        <w:t>similar to</w:t>
      </w:r>
      <w:proofErr w:type="gramEnd"/>
      <w:r>
        <w:rPr>
          <w:lang w:val="en-GB" w:eastAsia="en-US"/>
        </w:rPr>
        <w:t xml:space="preserve"> DL transmission, we have Option 2 and Option 3 as well. </w:t>
      </w:r>
      <w:r w:rsidR="00D77412">
        <w:rPr>
          <w:lang w:val="en-GB" w:eastAsia="en-US"/>
        </w:rPr>
        <w:t xml:space="preserve">We believe the definition of Option 2 and Option 3 is not very clear. For </w:t>
      </w:r>
      <w:proofErr w:type="gramStart"/>
      <w:r w:rsidR="00D77412">
        <w:rPr>
          <w:lang w:val="en-GB" w:eastAsia="en-US"/>
        </w:rPr>
        <w:t>example</w:t>
      </w:r>
      <w:proofErr w:type="gramEnd"/>
      <w:r w:rsidR="00D77412">
        <w:rPr>
          <w:lang w:val="en-GB" w:eastAsia="en-US"/>
        </w:rPr>
        <w:t xml:space="preserve"> if the UE is granted with a PUSCH in one </w:t>
      </w:r>
      <w:proofErr w:type="spellStart"/>
      <w:r w:rsidR="00D77412">
        <w:rPr>
          <w:lang w:val="en-GB" w:eastAsia="en-US"/>
        </w:rPr>
        <w:t>subband</w:t>
      </w:r>
      <w:proofErr w:type="spellEnd"/>
      <w:r w:rsidR="00D77412">
        <w:rPr>
          <w:lang w:val="en-GB" w:eastAsia="en-US"/>
        </w:rPr>
        <w:t xml:space="preserve"> only out of a BWP covers two </w:t>
      </w:r>
      <w:proofErr w:type="spellStart"/>
      <w:r w:rsidR="00D77412">
        <w:rPr>
          <w:lang w:val="en-GB" w:eastAsia="en-US"/>
        </w:rPr>
        <w:t>subbands</w:t>
      </w:r>
      <w:proofErr w:type="spellEnd"/>
      <w:r w:rsidR="00D77412">
        <w:rPr>
          <w:lang w:val="en-GB" w:eastAsia="en-US"/>
        </w:rPr>
        <w:t xml:space="preserve">, the transmission of the PUSCH should happen if the LBT for the </w:t>
      </w:r>
      <w:proofErr w:type="spellStart"/>
      <w:r w:rsidR="00D77412">
        <w:rPr>
          <w:lang w:val="en-GB" w:eastAsia="en-US"/>
        </w:rPr>
        <w:t>subband</w:t>
      </w:r>
      <w:proofErr w:type="spellEnd"/>
      <w:r w:rsidR="00D77412">
        <w:rPr>
          <w:lang w:val="en-GB" w:eastAsia="en-US"/>
        </w:rPr>
        <w:t xml:space="preserve"> contains PUSCH passes. Therefore, we propose to update the language for Option 2 and Option 3 as follows:</w:t>
      </w:r>
    </w:p>
    <w:p w14:paraId="4D301A6F" w14:textId="5678F649" w:rsidR="001B7DFF" w:rsidRDefault="0069728A" w:rsidP="00D77412">
      <w:r>
        <w:rPr>
          <w:lang w:val="en-GB" w:eastAsia="en-US"/>
        </w:rPr>
        <w:t>Instead of a symmetric design, we propose to support Option 2 for UL for the following reasons.</w:t>
      </w:r>
    </w:p>
    <w:p w14:paraId="7B4169C3" w14:textId="53A72DDB" w:rsidR="0069728A" w:rsidRDefault="0069728A" w:rsidP="00D77412">
      <w:pPr>
        <w:pStyle w:val="ListParagraph"/>
        <w:numPr>
          <w:ilvl w:val="0"/>
          <w:numId w:val="46"/>
        </w:numPr>
        <w:ind w:leftChars="0"/>
      </w:pPr>
      <w:r>
        <w:rPr>
          <w:lang w:val="en-GB" w:eastAsia="en-US"/>
        </w:rPr>
        <w:t>The UL is scheduled, UE autonomous puncturing in frequency domain may lead to some complexity at gNB receiver.</w:t>
      </w:r>
    </w:p>
    <w:p w14:paraId="4F971AE0" w14:textId="6C1383E1" w:rsidR="0069728A" w:rsidRDefault="003643E6" w:rsidP="00D77412">
      <w:pPr>
        <w:pStyle w:val="ListParagraph"/>
        <w:numPr>
          <w:ilvl w:val="0"/>
          <w:numId w:val="46"/>
        </w:numPr>
        <w:ind w:leftChars="0"/>
      </w:pPr>
      <w:r>
        <w:rPr>
          <w:lang w:val="en-GB" w:eastAsia="en-US"/>
        </w:rPr>
        <w:t xml:space="preserve">UL transmission within gNB COT is subject to Cat 1 immediate transmission or Cat 2 LBT. When Cat 1 immediate transmission is used, the UE will follow the UL grant to transmit in the RBs allocated, which are in the subbands </w:t>
      </w:r>
      <w:r w:rsidR="002F1063">
        <w:rPr>
          <w:lang w:val="en-GB" w:eastAsia="en-US"/>
        </w:rPr>
        <w:t xml:space="preserve">that have </w:t>
      </w:r>
      <w:r>
        <w:rPr>
          <w:lang w:val="en-GB" w:eastAsia="en-US"/>
        </w:rPr>
        <w:t xml:space="preserve">passed LBT at gNB side. When Cat 2 LBT is used, since the RBs allocated for UL transmission </w:t>
      </w:r>
      <w:r w:rsidR="002F1063">
        <w:rPr>
          <w:lang w:val="en-GB" w:eastAsia="en-US"/>
        </w:rPr>
        <w:t>are</w:t>
      </w:r>
      <w:r>
        <w:rPr>
          <w:lang w:val="en-GB" w:eastAsia="en-US"/>
        </w:rPr>
        <w:t xml:space="preserve"> in the </w:t>
      </w:r>
      <w:proofErr w:type="spellStart"/>
      <w:r>
        <w:rPr>
          <w:lang w:val="en-GB" w:eastAsia="en-US"/>
        </w:rPr>
        <w:t>subbands</w:t>
      </w:r>
      <w:proofErr w:type="spellEnd"/>
      <w:r>
        <w:rPr>
          <w:lang w:val="en-GB" w:eastAsia="en-US"/>
        </w:rPr>
        <w:t xml:space="preserve"> </w:t>
      </w:r>
      <w:r w:rsidR="002F1063">
        <w:rPr>
          <w:lang w:val="en-GB" w:eastAsia="en-US"/>
        </w:rPr>
        <w:t xml:space="preserve">that </w:t>
      </w:r>
      <w:r>
        <w:rPr>
          <w:lang w:val="en-GB" w:eastAsia="en-US"/>
        </w:rPr>
        <w:t>passed LBT on gNB side recently, the chance</w:t>
      </w:r>
      <w:r w:rsidR="002F1063">
        <w:rPr>
          <w:lang w:val="en-GB" w:eastAsia="en-US"/>
        </w:rPr>
        <w:t>s</w:t>
      </w:r>
      <w:r>
        <w:rPr>
          <w:lang w:val="en-GB" w:eastAsia="en-US"/>
        </w:rPr>
        <w:t xml:space="preserve"> of </w:t>
      </w:r>
      <w:r w:rsidR="005B5F7C">
        <w:rPr>
          <w:lang w:val="en-GB" w:eastAsia="en-US"/>
        </w:rPr>
        <w:t>different LBT outcome</w:t>
      </w:r>
      <w:r w:rsidR="002F1063">
        <w:rPr>
          <w:lang w:val="en-GB" w:eastAsia="en-US"/>
        </w:rPr>
        <w:t>s</w:t>
      </w:r>
      <w:r w:rsidR="005B5F7C">
        <w:rPr>
          <w:lang w:val="en-GB" w:eastAsia="en-US"/>
        </w:rPr>
        <w:t xml:space="preserve"> across these subbands are not high.</w:t>
      </w:r>
    </w:p>
    <w:p w14:paraId="081D5990" w14:textId="329D4551" w:rsidR="00D77412" w:rsidRPr="007D7058" w:rsidRDefault="005B5F7C" w:rsidP="00D77412">
      <w:pPr>
        <w:pStyle w:val="ListParagraph"/>
        <w:numPr>
          <w:ilvl w:val="0"/>
          <w:numId w:val="46"/>
        </w:numPr>
        <w:ind w:leftChars="0"/>
      </w:pPr>
      <w:r>
        <w:rPr>
          <w:lang w:val="en-GB" w:eastAsia="en-US"/>
        </w:rPr>
        <w:t xml:space="preserve">The UL transmission is a single PUSCH targeting the gNB. If there is frequency domain puncturing, due to the frequency first mapping of the PUSCH, all CBs in the PUSCH are affected, and likely a retransmission is needed. The similar issue applies for DL as well if single wideband PDSCH is granted. But the DL has the option to serve multiple UEs in separate </w:t>
      </w:r>
      <w:proofErr w:type="spellStart"/>
      <w:r>
        <w:rPr>
          <w:lang w:val="en-GB" w:eastAsia="en-US"/>
        </w:rPr>
        <w:t>subbands</w:t>
      </w:r>
      <w:proofErr w:type="spellEnd"/>
      <w:r>
        <w:rPr>
          <w:lang w:val="en-GB" w:eastAsia="en-US"/>
        </w:rPr>
        <w:t xml:space="preserve"> with different PDSCH</w:t>
      </w:r>
      <w:r w:rsidR="00D77412">
        <w:rPr>
          <w:lang w:val="en-GB" w:eastAsia="en-US"/>
        </w:rPr>
        <w:t>.</w:t>
      </w:r>
    </w:p>
    <w:p w14:paraId="0704BA96" w14:textId="6BF6DB9C" w:rsidR="00787477" w:rsidRPr="00787477" w:rsidRDefault="00787477" w:rsidP="00787477">
      <w:pPr>
        <w:rPr>
          <w:b/>
          <w:lang w:val="en-GB" w:eastAsia="en-US"/>
        </w:rPr>
      </w:pPr>
      <w:bookmarkStart w:id="7" w:name="p6"/>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D80B5F">
        <w:rPr>
          <w:b/>
          <w:noProof/>
          <w:snapToGrid w:val="0"/>
          <w:kern w:val="0"/>
          <w:szCs w:val="20"/>
          <w:lang w:val="en-GB" w:eastAsia="en-US"/>
        </w:rPr>
        <w:t>3</w:t>
      </w:r>
      <w:r w:rsidR="0094414E" w:rsidRPr="00601374">
        <w:rPr>
          <w:b/>
          <w:snapToGrid w:val="0"/>
          <w:kern w:val="0"/>
          <w:szCs w:val="20"/>
          <w:lang w:val="en-GB" w:eastAsia="en-US"/>
        </w:rPr>
        <w:fldChar w:fldCharType="end"/>
      </w:r>
      <w:r w:rsidRPr="00787477">
        <w:rPr>
          <w:b/>
          <w:lang w:val="en-GB" w:eastAsia="en-US"/>
        </w:rPr>
        <w:t xml:space="preserve">: NR-U supports Option </w:t>
      </w:r>
      <w:r>
        <w:rPr>
          <w:b/>
          <w:lang w:val="en-GB" w:eastAsia="en-US"/>
        </w:rPr>
        <w:t>2</w:t>
      </w:r>
      <w:r w:rsidRPr="00787477">
        <w:rPr>
          <w:b/>
          <w:lang w:val="en-GB" w:eastAsia="en-US"/>
        </w:rPr>
        <w:t xml:space="preserve"> for</w:t>
      </w:r>
      <w:r>
        <w:rPr>
          <w:b/>
          <w:lang w:val="en-GB" w:eastAsia="en-US"/>
        </w:rPr>
        <w:t xml:space="preserve"> U</w:t>
      </w:r>
      <w:r w:rsidRPr="00787477">
        <w:rPr>
          <w:b/>
          <w:lang w:val="en-GB" w:eastAsia="en-US"/>
        </w:rPr>
        <w:t>L wideband BWP</w:t>
      </w:r>
      <w:r>
        <w:rPr>
          <w:b/>
          <w:lang w:val="en-GB" w:eastAsia="en-US"/>
        </w:rPr>
        <w:t xml:space="preserve"> operation.</w:t>
      </w:r>
      <w:r w:rsidR="00D77412">
        <w:rPr>
          <w:b/>
          <w:lang w:val="en-GB" w:eastAsia="en-US"/>
        </w:rPr>
        <w:t xml:space="preserve"> </w:t>
      </w:r>
    </w:p>
    <w:bookmarkEnd w:id="7"/>
    <w:p w14:paraId="1F083CA7" w14:textId="2218916B" w:rsidR="0095302F" w:rsidRDefault="0095302F" w:rsidP="00601374">
      <w:pPr>
        <w:pStyle w:val="Heading1"/>
        <w:kinsoku w:val="0"/>
        <w:spacing w:after="0"/>
      </w:pPr>
      <w:r>
        <w:lastRenderedPageBreak/>
        <w:t>Summary</w:t>
      </w:r>
    </w:p>
    <w:p w14:paraId="791C5E77" w14:textId="06E6A4E2"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4E3AEBD2" w14:textId="77777777" w:rsidR="00D80B5F" w:rsidRPr="00D77412" w:rsidRDefault="002F1063">
      <w:pPr>
        <w:rPr>
          <w:b/>
          <w:lang w:val="en-GB" w:eastAsia="en-US"/>
        </w:rPr>
      </w:pPr>
      <w:r>
        <w:rPr>
          <w:b/>
        </w:rPr>
        <w:fldChar w:fldCharType="begin"/>
      </w:r>
      <w:r>
        <w:rPr>
          <w:b/>
        </w:rPr>
        <w:instrText xml:space="preserve"> REF p4 \h </w:instrText>
      </w:r>
      <w:r>
        <w:rPr>
          <w:b/>
        </w:rPr>
      </w:r>
      <w:r>
        <w:rPr>
          <w:b/>
        </w:rPr>
        <w:fldChar w:fldCharType="separate"/>
      </w:r>
      <w:r w:rsidR="00D80B5F" w:rsidRPr="00D77412">
        <w:rPr>
          <w:b/>
          <w:lang w:val="en-GB" w:eastAsia="en-US"/>
        </w:rPr>
        <w:t xml:space="preserve">Proposal </w:t>
      </w:r>
      <w:r w:rsidR="00D80B5F">
        <w:rPr>
          <w:b/>
          <w:noProof/>
          <w:lang w:val="en-GB" w:eastAsia="en-US"/>
        </w:rPr>
        <w:t>1</w:t>
      </w:r>
      <w:r w:rsidR="00D80B5F" w:rsidRPr="00D77412">
        <w:rPr>
          <w:b/>
          <w:lang w:val="en-GB" w:eastAsia="en-US"/>
        </w:rPr>
        <w:t xml:space="preserve">: Rel.15 NR wideband multi-cluster coreset </w:t>
      </w:r>
      <w:r w:rsidR="00D80B5F">
        <w:rPr>
          <w:b/>
          <w:lang w:val="en-GB" w:eastAsia="en-US"/>
        </w:rPr>
        <w:t xml:space="preserve">with possible extensions </w:t>
      </w:r>
      <w:r w:rsidR="00D80B5F" w:rsidRPr="00D77412">
        <w:rPr>
          <w:b/>
          <w:lang w:val="en-GB" w:eastAsia="en-US"/>
        </w:rPr>
        <w:t xml:space="preserve">can be used to support </w:t>
      </w:r>
      <w:proofErr w:type="spellStart"/>
      <w:r w:rsidR="00D80B5F" w:rsidRPr="00D77412">
        <w:rPr>
          <w:b/>
          <w:lang w:val="en-GB" w:eastAsia="en-US"/>
        </w:rPr>
        <w:t>subband</w:t>
      </w:r>
      <w:proofErr w:type="spellEnd"/>
      <w:r w:rsidR="00D80B5F" w:rsidRPr="00D77412">
        <w:rPr>
          <w:b/>
          <w:lang w:val="en-GB" w:eastAsia="en-US"/>
        </w:rPr>
        <w:t xml:space="preserve"> based access of wideband BWP.</w:t>
      </w:r>
    </w:p>
    <w:p w14:paraId="1E5C58CE" w14:textId="77777777" w:rsidR="00D80B5F" w:rsidRPr="00D77412" w:rsidRDefault="002F1063">
      <w:pPr>
        <w:rPr>
          <w:b/>
          <w:lang w:val="en-GB" w:eastAsia="en-US"/>
        </w:rPr>
      </w:pPr>
      <w:r>
        <w:rPr>
          <w:b/>
        </w:rPr>
        <w:fldChar w:fldCharType="end"/>
      </w:r>
      <w:r>
        <w:rPr>
          <w:b/>
        </w:rPr>
        <w:fldChar w:fldCharType="begin"/>
      </w:r>
      <w:r>
        <w:rPr>
          <w:b/>
        </w:rPr>
        <w:instrText xml:space="preserve"> REF p5 \h </w:instrText>
      </w:r>
      <w:r>
        <w:rPr>
          <w:b/>
        </w:rPr>
      </w:r>
      <w:r>
        <w:rPr>
          <w:b/>
        </w:rPr>
        <w:fldChar w:fldCharType="separate"/>
      </w:r>
      <w:r w:rsidR="00D80B5F" w:rsidRPr="00D77412">
        <w:rPr>
          <w:b/>
          <w:lang w:val="en-GB" w:eastAsia="en-US"/>
        </w:rPr>
        <w:t xml:space="preserve">Proposal </w:t>
      </w:r>
      <w:r w:rsidR="00D80B5F">
        <w:rPr>
          <w:b/>
          <w:noProof/>
          <w:lang w:val="en-GB" w:eastAsia="en-US"/>
        </w:rPr>
        <w:t>2</w:t>
      </w:r>
      <w:r w:rsidR="00D80B5F" w:rsidRPr="00D77412">
        <w:rPr>
          <w:b/>
          <w:lang w:val="en-GB" w:eastAsia="en-US"/>
        </w:rPr>
        <w:t xml:space="preserve">. Include the </w:t>
      </w:r>
      <w:proofErr w:type="spellStart"/>
      <w:r w:rsidR="00D80B5F" w:rsidRPr="00D77412">
        <w:rPr>
          <w:b/>
          <w:lang w:val="en-GB" w:eastAsia="en-US"/>
        </w:rPr>
        <w:t>subband</w:t>
      </w:r>
      <w:proofErr w:type="spellEnd"/>
      <w:r w:rsidR="00D80B5F" w:rsidRPr="00D77412">
        <w:rPr>
          <w:b/>
          <w:lang w:val="en-GB" w:eastAsia="en-US"/>
        </w:rPr>
        <w:t xml:space="preserve"> usage information </w:t>
      </w:r>
      <w:r w:rsidR="00D80B5F">
        <w:rPr>
          <w:b/>
          <w:lang w:val="en-GB" w:eastAsia="en-US"/>
        </w:rPr>
        <w:t>as part of</w:t>
      </w:r>
      <w:r w:rsidR="00D80B5F" w:rsidRPr="00D77412">
        <w:rPr>
          <w:b/>
          <w:lang w:val="en-GB" w:eastAsia="en-US"/>
        </w:rPr>
        <w:t xml:space="preserve"> the COT structure indication.</w:t>
      </w:r>
    </w:p>
    <w:p w14:paraId="4DF4D06A" w14:textId="77777777" w:rsidR="00D80B5F" w:rsidRPr="00787477" w:rsidRDefault="002F1063" w:rsidP="00787477">
      <w:pPr>
        <w:rPr>
          <w:b/>
          <w:lang w:val="en-GB" w:eastAsia="en-US"/>
        </w:rPr>
      </w:pPr>
      <w:r>
        <w:rPr>
          <w:b/>
        </w:rPr>
        <w:fldChar w:fldCharType="end"/>
      </w:r>
      <w:r>
        <w:rPr>
          <w:b/>
        </w:rPr>
        <w:fldChar w:fldCharType="begin"/>
      </w:r>
      <w:r>
        <w:rPr>
          <w:b/>
        </w:rPr>
        <w:instrText xml:space="preserve"> REF p6 \h </w:instrText>
      </w:r>
      <w:r>
        <w:rPr>
          <w:b/>
        </w:rPr>
      </w:r>
      <w:r>
        <w:rPr>
          <w:b/>
        </w:rPr>
        <w:fldChar w:fldCharType="separate"/>
      </w:r>
      <w:r w:rsidR="00D80B5F" w:rsidRPr="00787477">
        <w:rPr>
          <w:b/>
          <w:lang w:val="en-GB" w:eastAsia="en-US"/>
        </w:rPr>
        <w:t>Proposal</w:t>
      </w:r>
      <w:r w:rsidR="00D80B5F">
        <w:rPr>
          <w:b/>
          <w:lang w:val="en-GB" w:eastAsia="en-US"/>
        </w:rPr>
        <w:t xml:space="preserve"> </w:t>
      </w:r>
      <w:r w:rsidR="00D80B5F">
        <w:rPr>
          <w:b/>
          <w:noProof/>
          <w:snapToGrid w:val="0"/>
          <w:kern w:val="0"/>
          <w:szCs w:val="20"/>
          <w:lang w:val="en-GB" w:eastAsia="en-US"/>
        </w:rPr>
        <w:t>3</w:t>
      </w:r>
      <w:r w:rsidR="00D80B5F" w:rsidRPr="00787477">
        <w:rPr>
          <w:b/>
          <w:lang w:val="en-GB" w:eastAsia="en-US"/>
        </w:rPr>
        <w:t xml:space="preserve">: NR-U supports Option </w:t>
      </w:r>
      <w:r w:rsidR="00D80B5F">
        <w:rPr>
          <w:b/>
          <w:lang w:val="en-GB" w:eastAsia="en-US"/>
        </w:rPr>
        <w:t>2</w:t>
      </w:r>
      <w:r w:rsidR="00D80B5F" w:rsidRPr="00787477">
        <w:rPr>
          <w:b/>
          <w:lang w:val="en-GB" w:eastAsia="en-US"/>
        </w:rPr>
        <w:t xml:space="preserve"> for</w:t>
      </w:r>
      <w:r w:rsidR="00D80B5F">
        <w:rPr>
          <w:b/>
          <w:lang w:val="en-GB" w:eastAsia="en-US"/>
        </w:rPr>
        <w:t xml:space="preserve"> U</w:t>
      </w:r>
      <w:r w:rsidR="00D80B5F" w:rsidRPr="00787477">
        <w:rPr>
          <w:b/>
          <w:lang w:val="en-GB" w:eastAsia="en-US"/>
        </w:rPr>
        <w:t>L wideband BWP</w:t>
      </w:r>
      <w:r w:rsidR="00D80B5F">
        <w:rPr>
          <w:b/>
          <w:lang w:val="en-GB" w:eastAsia="en-US"/>
        </w:rPr>
        <w:t xml:space="preserve"> operation. </w:t>
      </w:r>
    </w:p>
    <w:p w14:paraId="3BAE6D31" w14:textId="3DBD64D7" w:rsidR="005B39FE" w:rsidRPr="00C21996" w:rsidRDefault="002F1063" w:rsidP="006A75FF">
      <w:pPr>
        <w:pStyle w:val="LGTdoc1"/>
        <w:kinsoku w:val="0"/>
        <w:overflowPunct w:val="0"/>
        <w:spacing w:beforeLines="0" w:before="120" w:after="0" w:afterAutospacing="0"/>
        <w:rPr>
          <w:b w:val="0"/>
          <w:sz w:val="20"/>
        </w:rPr>
      </w:pPr>
      <w:r>
        <w:rPr>
          <w:b w:val="0"/>
          <w:sz w:val="20"/>
        </w:rPr>
        <w:fldChar w:fldCharType="end"/>
      </w:r>
    </w:p>
    <w:p w14:paraId="2451782E" w14:textId="77777777" w:rsidR="00BB6420" w:rsidRDefault="00BB6420" w:rsidP="00601374">
      <w:pPr>
        <w:pStyle w:val="LGTdoc1"/>
        <w:kinsoku w:val="0"/>
        <w:overflowPunct w:val="0"/>
        <w:spacing w:before="120" w:after="0" w:afterAutospacing="0"/>
        <w:rPr>
          <w:b w:val="0"/>
          <w:sz w:val="22"/>
          <w:szCs w:val="22"/>
        </w:rPr>
      </w:pPr>
    </w:p>
    <w:sectPr w:rsidR="00BB6420"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404451" w:rsidRDefault="00404451">
      <w:r>
        <w:separator/>
      </w:r>
    </w:p>
    <w:p w14:paraId="1AD05402" w14:textId="77777777" w:rsidR="00404451" w:rsidRDefault="00404451"/>
    <w:p w14:paraId="45339835" w14:textId="77777777" w:rsidR="00404451" w:rsidRDefault="00404451"/>
    <w:p w14:paraId="34587337" w14:textId="77777777" w:rsidR="00463AF1" w:rsidRDefault="00463AF1"/>
  </w:endnote>
  <w:endnote w:type="continuationSeparator" w:id="0">
    <w:p w14:paraId="5E1E2E82" w14:textId="77777777" w:rsidR="00404451" w:rsidRDefault="00404451">
      <w:r>
        <w:continuationSeparator/>
      </w:r>
    </w:p>
    <w:p w14:paraId="46EB16C1" w14:textId="77777777" w:rsidR="00404451" w:rsidRDefault="00404451"/>
    <w:p w14:paraId="43D4C8AC" w14:textId="77777777" w:rsidR="00404451" w:rsidRDefault="00404451"/>
    <w:p w14:paraId="0CB31EBA" w14:textId="77777777" w:rsidR="00463AF1" w:rsidRDefault="00463AF1"/>
  </w:endnote>
  <w:endnote w:type="continuationNotice" w:id="1">
    <w:p w14:paraId="46ED9A90" w14:textId="77777777" w:rsidR="00404451" w:rsidRDefault="00404451"/>
    <w:p w14:paraId="244F6C24" w14:textId="77777777" w:rsidR="00404451" w:rsidRDefault="00404451"/>
    <w:p w14:paraId="15F47527" w14:textId="77777777" w:rsidR="00404451" w:rsidRDefault="00404451"/>
    <w:p w14:paraId="31D144A1" w14:textId="77777777" w:rsidR="00463AF1" w:rsidRDefault="00463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404451" w:rsidRDefault="00404451">
      <w:r>
        <w:separator/>
      </w:r>
    </w:p>
    <w:p w14:paraId="0054C6A5" w14:textId="77777777" w:rsidR="00404451" w:rsidRDefault="00404451"/>
    <w:p w14:paraId="4F555EF0" w14:textId="77777777" w:rsidR="00404451" w:rsidRDefault="00404451"/>
    <w:p w14:paraId="76FA0DD6" w14:textId="77777777" w:rsidR="00463AF1" w:rsidRDefault="00463AF1"/>
  </w:footnote>
  <w:footnote w:type="continuationSeparator" w:id="0">
    <w:p w14:paraId="2F19D222" w14:textId="77777777" w:rsidR="00404451" w:rsidRDefault="00404451">
      <w:r>
        <w:continuationSeparator/>
      </w:r>
    </w:p>
    <w:p w14:paraId="0C9F3D65" w14:textId="77777777" w:rsidR="00404451" w:rsidRDefault="00404451"/>
    <w:p w14:paraId="5402F367" w14:textId="77777777" w:rsidR="00404451" w:rsidRDefault="00404451"/>
    <w:p w14:paraId="7F0166B8" w14:textId="77777777" w:rsidR="00463AF1" w:rsidRDefault="00463AF1"/>
  </w:footnote>
  <w:footnote w:type="continuationNotice" w:id="1">
    <w:p w14:paraId="1977B3CE" w14:textId="77777777" w:rsidR="00404451" w:rsidRDefault="00404451"/>
    <w:p w14:paraId="20399F9C" w14:textId="77777777" w:rsidR="00404451" w:rsidRDefault="00404451"/>
    <w:p w14:paraId="5DACD8DF" w14:textId="77777777" w:rsidR="00404451" w:rsidRDefault="00404451"/>
    <w:p w14:paraId="62B34C85" w14:textId="77777777" w:rsidR="00463AF1" w:rsidRDefault="00463A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C07C31"/>
    <w:multiLevelType w:val="hybridMultilevel"/>
    <w:tmpl w:val="518C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1FBE"/>
    <w:multiLevelType w:val="hybridMultilevel"/>
    <w:tmpl w:val="7FA45C2E"/>
    <w:lvl w:ilvl="0" w:tplc="5D14296C">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22D6B4F"/>
    <w:multiLevelType w:val="hybridMultilevel"/>
    <w:tmpl w:val="E304C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18B502DD"/>
    <w:multiLevelType w:val="hybridMultilevel"/>
    <w:tmpl w:val="27B0DB08"/>
    <w:lvl w:ilvl="0" w:tplc="CB32EDF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E135538"/>
    <w:multiLevelType w:val="hybridMultilevel"/>
    <w:tmpl w:val="A12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7A21A6"/>
    <w:multiLevelType w:val="hybridMultilevel"/>
    <w:tmpl w:val="4E7E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8C2D03"/>
    <w:multiLevelType w:val="hybridMultilevel"/>
    <w:tmpl w:val="3BAA3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4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4B4363"/>
    <w:multiLevelType w:val="hybridMultilevel"/>
    <w:tmpl w:val="F61AF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1398B"/>
    <w:multiLevelType w:val="hybridMultilevel"/>
    <w:tmpl w:val="882A44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11"/>
  </w:num>
  <w:num w:numId="3">
    <w:abstractNumId w:val="29"/>
  </w:num>
  <w:num w:numId="4">
    <w:abstractNumId w:val="45"/>
  </w:num>
  <w:num w:numId="5">
    <w:abstractNumId w:val="47"/>
  </w:num>
  <w:num w:numId="6">
    <w:abstractNumId w:val="1"/>
  </w:num>
  <w:num w:numId="7">
    <w:abstractNumId w:val="48"/>
  </w:num>
  <w:num w:numId="8">
    <w:abstractNumId w:val="39"/>
  </w:num>
  <w:num w:numId="9">
    <w:abstractNumId w:val="34"/>
  </w:num>
  <w:num w:numId="10">
    <w:abstractNumId w:val="36"/>
  </w:num>
  <w:num w:numId="11">
    <w:abstractNumId w:val="28"/>
  </w:num>
  <w:num w:numId="12">
    <w:abstractNumId w:val="26"/>
  </w:num>
  <w:num w:numId="13">
    <w:abstractNumId w:val="0"/>
  </w:num>
  <w:num w:numId="14">
    <w:abstractNumId w:val="14"/>
  </w:num>
  <w:num w:numId="15">
    <w:abstractNumId w:val="13"/>
  </w:num>
  <w:num w:numId="16">
    <w:abstractNumId w:val="43"/>
  </w:num>
  <w:num w:numId="17">
    <w:abstractNumId w:val="24"/>
  </w:num>
  <w:num w:numId="18">
    <w:abstractNumId w:val="10"/>
  </w:num>
  <w:num w:numId="19">
    <w:abstractNumId w:val="30"/>
  </w:num>
  <w:num w:numId="20">
    <w:abstractNumId w:val="31"/>
  </w:num>
  <w:num w:numId="21">
    <w:abstractNumId w:val="16"/>
  </w:num>
  <w:num w:numId="22">
    <w:abstractNumId w:val="3"/>
  </w:num>
  <w:num w:numId="23">
    <w:abstractNumId w:val="17"/>
  </w:num>
  <w:num w:numId="24">
    <w:abstractNumId w:val="8"/>
  </w:num>
  <w:num w:numId="25">
    <w:abstractNumId w:val="33"/>
  </w:num>
  <w:num w:numId="26">
    <w:abstractNumId w:val="7"/>
  </w:num>
  <w:num w:numId="27">
    <w:abstractNumId w:val="22"/>
  </w:num>
  <w:num w:numId="28">
    <w:abstractNumId w:val="25"/>
  </w:num>
  <w:num w:numId="29">
    <w:abstractNumId w:val="44"/>
  </w:num>
  <w:num w:numId="30">
    <w:abstractNumId w:val="18"/>
  </w:num>
  <w:num w:numId="31">
    <w:abstractNumId w:val="38"/>
  </w:num>
  <w:num w:numId="32">
    <w:abstractNumId w:val="19"/>
  </w:num>
  <w:num w:numId="33">
    <w:abstractNumId w:val="46"/>
  </w:num>
  <w:num w:numId="34">
    <w:abstractNumId w:val="32"/>
  </w:num>
  <w:num w:numId="35">
    <w:abstractNumId w:val="27"/>
  </w:num>
  <w:num w:numId="36">
    <w:abstractNumId w:val="23"/>
  </w:num>
  <w:num w:numId="37">
    <w:abstractNumId w:val="12"/>
  </w:num>
  <w:num w:numId="38">
    <w:abstractNumId w:val="35"/>
  </w:num>
  <w:num w:numId="39">
    <w:abstractNumId w:val="41"/>
  </w:num>
  <w:num w:numId="40">
    <w:abstractNumId w:val="37"/>
  </w:num>
  <w:num w:numId="41">
    <w:abstractNumId w:val="42"/>
  </w:num>
  <w:num w:numId="42">
    <w:abstractNumId w:val="20"/>
  </w:num>
  <w:num w:numId="43">
    <w:abstractNumId w:val="21"/>
  </w:num>
  <w:num w:numId="44">
    <w:abstractNumId w:val="2"/>
  </w:num>
  <w:num w:numId="45">
    <w:abstractNumId w:val="6"/>
  </w:num>
  <w:num w:numId="46">
    <w:abstractNumId w:val="5"/>
  </w:num>
  <w:num w:numId="47">
    <w:abstractNumId w:val="9"/>
  </w:num>
  <w:num w:numId="48">
    <w:abstractNumId w:val="4"/>
  </w:num>
  <w:num w:numId="49">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3EQ6UJ4K66FU-4-34509</_dlc_DocId>
    <_dlc_DocIdUrl xmlns="df4eea7b-52db-4162-980b-b352f1b580a3">
      <Url>https://projects.qualcomm.com/sites/meridian/_layouts/15/DocIdRedir.aspx?ID=3EQ6UJ4K66FU-4-34509</Url>
      <Description>3EQ6UJ4K66FU-4-34509</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58DC8-2260-4A78-8410-847CA8C7586C}">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df4eea7b-52db-4162-980b-b352f1b580a3"/>
    <ds:schemaRef ds:uri="http://schemas.microsoft.com/office/2006/metadata/properties"/>
    <ds:schemaRef ds:uri="http://schemas.microsoft.com/office/2006/documentManagement/types"/>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www.w3.org/XML/1998/namespace"/>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EDDE70DB-AD80-41B1-8D03-C06D95B0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4508</TotalTime>
  <Pages>5</Pages>
  <Words>1460</Words>
  <Characters>8326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143</cp:revision>
  <cp:lastPrinted>2010-08-13T21:54:00Z</cp:lastPrinted>
  <dcterms:created xsi:type="dcterms:W3CDTF">2017-12-19T08:06:00Z</dcterms:created>
  <dcterms:modified xsi:type="dcterms:W3CDTF">2019-02-15T20:30:00Z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bcd8bb88-73cb-4fed-84e3-7d00d7f91b94</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